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45" w:rsidRDefault="00D70645" w:rsidP="00DE171A">
      <w:pPr>
        <w:rPr>
          <w:rFonts w:ascii="Arial" w:hAnsi="Arial" w:cs="Arial"/>
          <w:b/>
          <w:sz w:val="20"/>
          <w:szCs w:val="20"/>
        </w:rPr>
      </w:pPr>
    </w:p>
    <w:p w:rsidR="00D70645" w:rsidRDefault="00D70645" w:rsidP="00DE171A">
      <w:pPr>
        <w:rPr>
          <w:rFonts w:ascii="Arial" w:hAnsi="Arial" w:cs="Arial"/>
          <w:b/>
          <w:sz w:val="20"/>
          <w:szCs w:val="20"/>
        </w:rPr>
      </w:pPr>
    </w:p>
    <w:p w:rsidR="00D70645" w:rsidRDefault="00DE171A" w:rsidP="003820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Evaluation of Quality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4"/>
        <w:gridCol w:w="2948"/>
      </w:tblGrid>
      <w:tr w:rsidR="00DE171A" w:rsidTr="00DE171A">
        <w:tc>
          <w:tcPr>
            <w:tcW w:w="4361" w:type="dxa"/>
          </w:tcPr>
          <w:p w:rsidR="00DE171A" w:rsidRPr="00DE171A" w:rsidRDefault="00DE171A" w:rsidP="00DE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Leadership of change</w:t>
            </w:r>
          </w:p>
        </w:tc>
        <w:tc>
          <w:tcPr>
            <w:tcW w:w="3047" w:type="dxa"/>
          </w:tcPr>
          <w:p w:rsidR="00DE171A" w:rsidRPr="00D70FE6" w:rsidRDefault="00345A73" w:rsidP="00DE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DE171A" w:rsidTr="00DE171A">
        <w:tc>
          <w:tcPr>
            <w:tcW w:w="4361" w:type="dxa"/>
          </w:tcPr>
          <w:p w:rsidR="00DE171A" w:rsidRPr="00DE171A" w:rsidRDefault="00DE171A" w:rsidP="00DE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</w:tc>
        <w:tc>
          <w:tcPr>
            <w:tcW w:w="3047" w:type="dxa"/>
          </w:tcPr>
          <w:p w:rsidR="00DE171A" w:rsidRPr="00DE171A" w:rsidRDefault="00DE171A" w:rsidP="00DE171A">
            <w:pPr>
              <w:rPr>
                <w:rFonts w:ascii="Arial" w:hAnsi="Arial" w:cs="Arial"/>
                <w:sz w:val="20"/>
                <w:szCs w:val="20"/>
              </w:rPr>
            </w:pPr>
            <w:r w:rsidRPr="00DE171A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DE171A" w:rsidTr="00DE171A">
        <w:tc>
          <w:tcPr>
            <w:tcW w:w="4361" w:type="dxa"/>
          </w:tcPr>
          <w:p w:rsidR="00DE171A" w:rsidRPr="00DE171A" w:rsidRDefault="00DE171A" w:rsidP="00DE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Ensuring wellbeing, equity and inclusion</w:t>
            </w:r>
          </w:p>
        </w:tc>
        <w:tc>
          <w:tcPr>
            <w:tcW w:w="3047" w:type="dxa"/>
          </w:tcPr>
          <w:p w:rsidR="00DE171A" w:rsidRPr="00DE171A" w:rsidRDefault="00DE171A" w:rsidP="00DE171A">
            <w:pPr>
              <w:rPr>
                <w:rFonts w:ascii="Arial" w:hAnsi="Arial" w:cs="Arial"/>
                <w:sz w:val="20"/>
                <w:szCs w:val="20"/>
              </w:rPr>
            </w:pPr>
            <w:r w:rsidRPr="00DE171A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DE171A" w:rsidTr="00DE171A">
        <w:tc>
          <w:tcPr>
            <w:tcW w:w="4361" w:type="dxa"/>
          </w:tcPr>
          <w:p w:rsidR="00DE171A" w:rsidRPr="00DE171A" w:rsidRDefault="00DE171A" w:rsidP="00DE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Raising attainment and achievement</w:t>
            </w:r>
          </w:p>
        </w:tc>
        <w:tc>
          <w:tcPr>
            <w:tcW w:w="3047" w:type="dxa"/>
          </w:tcPr>
          <w:p w:rsidR="00DE171A" w:rsidRPr="00DE171A" w:rsidRDefault="00345A73" w:rsidP="00DE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</w:tbl>
    <w:p w:rsidR="00DE171A" w:rsidRDefault="00DE171A" w:rsidP="00DE171A">
      <w:pPr>
        <w:rPr>
          <w:rFonts w:ascii="Arial" w:hAnsi="Arial" w:cs="Arial"/>
          <w:b/>
          <w:sz w:val="20"/>
          <w:szCs w:val="20"/>
        </w:rPr>
      </w:pPr>
    </w:p>
    <w:p w:rsidR="00003375" w:rsidRDefault="00963FEC" w:rsidP="00D706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Improvement Priorities 20</w:t>
      </w:r>
      <w:r w:rsidR="008031E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-202</w:t>
      </w:r>
      <w:r w:rsidR="008031EB">
        <w:rPr>
          <w:rFonts w:ascii="Arial" w:hAnsi="Arial" w:cs="Arial"/>
          <w:b/>
          <w:sz w:val="20"/>
          <w:szCs w:val="20"/>
        </w:rPr>
        <w:t>1</w:t>
      </w:r>
    </w:p>
    <w:p w:rsidR="005B0E45" w:rsidRDefault="005B0E45" w:rsidP="005B0E45">
      <w:pPr>
        <w:rPr>
          <w:rFonts w:ascii="Arial" w:hAnsi="Arial" w:cs="Arial"/>
          <w:b/>
          <w:sz w:val="20"/>
          <w:szCs w:val="20"/>
        </w:rPr>
      </w:pPr>
      <w:r w:rsidRPr="0059639D">
        <w:rPr>
          <w:rFonts w:ascii="Arial" w:hAnsi="Arial" w:cs="Arial"/>
          <w:b/>
          <w:sz w:val="20"/>
          <w:szCs w:val="20"/>
        </w:rPr>
        <w:t>Leadership</w:t>
      </w:r>
    </w:p>
    <w:p w:rsidR="005B0E45" w:rsidRDefault="005B0E45" w:rsidP="005B0E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session the focus will be on recovery planning with a blended approach to home and school learning.</w:t>
      </w:r>
      <w:r w:rsidR="005F79B1">
        <w:rPr>
          <w:rFonts w:ascii="Arial" w:hAnsi="Arial" w:cs="Arial"/>
          <w:sz w:val="20"/>
          <w:szCs w:val="20"/>
        </w:rPr>
        <w:t xml:space="preserve"> </w:t>
      </w:r>
      <w:r w:rsidR="005F79B1" w:rsidRPr="005F79B1">
        <w:rPr>
          <w:rFonts w:ascii="Arial" w:hAnsi="Arial" w:cs="Arial"/>
          <w:sz w:val="20"/>
          <w:szCs w:val="20"/>
        </w:rPr>
        <w:t xml:space="preserve">Blended </w:t>
      </w:r>
      <w:r w:rsidR="005F79B1">
        <w:rPr>
          <w:rFonts w:ascii="Arial" w:hAnsi="Arial" w:cs="Arial"/>
          <w:sz w:val="20"/>
          <w:szCs w:val="20"/>
        </w:rPr>
        <w:t>l</w:t>
      </w:r>
      <w:r w:rsidR="005F79B1" w:rsidRPr="005F79B1">
        <w:rPr>
          <w:rFonts w:ascii="Arial" w:hAnsi="Arial" w:cs="Arial"/>
          <w:sz w:val="20"/>
          <w:szCs w:val="20"/>
        </w:rPr>
        <w:t>earning will</w:t>
      </w:r>
      <w:r w:rsidR="005F79B1">
        <w:rPr>
          <w:rFonts w:ascii="Arial" w:hAnsi="Arial" w:cs="Arial"/>
          <w:sz w:val="20"/>
          <w:szCs w:val="20"/>
        </w:rPr>
        <w:t xml:space="preserve"> h</w:t>
      </w:r>
      <w:r w:rsidR="005F79B1" w:rsidRPr="005F79B1">
        <w:rPr>
          <w:rFonts w:ascii="Arial" w:hAnsi="Arial" w:cs="Arial"/>
          <w:sz w:val="20"/>
          <w:szCs w:val="20"/>
        </w:rPr>
        <w:t>ave the wellbeing of learners, staff and families as a key priority and focus</w:t>
      </w:r>
      <w:r w:rsidR="005F79B1">
        <w:rPr>
          <w:rFonts w:ascii="Arial" w:hAnsi="Arial" w:cs="Arial"/>
          <w:sz w:val="20"/>
          <w:szCs w:val="20"/>
        </w:rPr>
        <w:t xml:space="preserve"> and b</w:t>
      </w:r>
      <w:r w:rsidR="005F79B1" w:rsidRPr="005F79B1">
        <w:rPr>
          <w:rFonts w:ascii="Arial" w:hAnsi="Arial" w:cs="Arial"/>
          <w:sz w:val="20"/>
          <w:szCs w:val="20"/>
        </w:rPr>
        <w:t>e supported by a well-considered curriculum which reflects reviewed priorities</w:t>
      </w:r>
      <w:r w:rsidR="005F79B1">
        <w:rPr>
          <w:rFonts w:ascii="Arial" w:hAnsi="Arial" w:cs="Arial"/>
          <w:sz w:val="20"/>
          <w:szCs w:val="20"/>
        </w:rPr>
        <w:t>.</w:t>
      </w:r>
      <w:r w:rsidR="005F79B1" w:rsidRPr="005F79B1">
        <w:rPr>
          <w:rFonts w:ascii="Arial" w:hAnsi="Arial" w:cs="Arial"/>
          <w:sz w:val="20"/>
          <w:szCs w:val="20"/>
        </w:rPr>
        <w:t xml:space="preserve"> </w:t>
      </w:r>
    </w:p>
    <w:p w:rsidR="0005665E" w:rsidRDefault="00566CB0" w:rsidP="000033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Attendance, Attainment and </w:t>
      </w:r>
      <w:r w:rsidR="00003375" w:rsidRPr="0059639D">
        <w:rPr>
          <w:rFonts w:ascii="Arial" w:hAnsi="Arial" w:cs="Arial"/>
          <w:b/>
          <w:sz w:val="20"/>
          <w:szCs w:val="20"/>
        </w:rPr>
        <w:t>Achievement</w:t>
      </w:r>
    </w:p>
    <w:p w:rsidR="00CD0989" w:rsidRPr="00CD0989" w:rsidRDefault="00CD0989" w:rsidP="00003375">
      <w:pPr>
        <w:rPr>
          <w:rFonts w:ascii="Arial" w:hAnsi="Arial" w:cs="Arial"/>
          <w:sz w:val="20"/>
          <w:szCs w:val="20"/>
        </w:rPr>
      </w:pPr>
      <w:r w:rsidRPr="00CD0989">
        <w:rPr>
          <w:rFonts w:ascii="Arial" w:hAnsi="Arial" w:cs="Arial"/>
          <w:sz w:val="20"/>
          <w:szCs w:val="20"/>
        </w:rPr>
        <w:t xml:space="preserve">The understanding and uptake of good health and wellbeing habits across our school communities and the wider community will </w:t>
      </w:r>
      <w:r w:rsidR="00284483">
        <w:rPr>
          <w:rFonts w:ascii="Arial" w:hAnsi="Arial" w:cs="Arial"/>
          <w:sz w:val="20"/>
          <w:szCs w:val="20"/>
        </w:rPr>
        <w:t xml:space="preserve">continue to </w:t>
      </w:r>
      <w:r w:rsidRPr="00CD0989">
        <w:rPr>
          <w:rFonts w:ascii="Arial" w:hAnsi="Arial" w:cs="Arial"/>
          <w:sz w:val="20"/>
          <w:szCs w:val="20"/>
        </w:rPr>
        <w:t>be raised.</w:t>
      </w:r>
    </w:p>
    <w:p w:rsidR="00003375" w:rsidRDefault="00003375" w:rsidP="00003375">
      <w:pPr>
        <w:rPr>
          <w:rFonts w:ascii="Arial" w:hAnsi="Arial" w:cs="Arial"/>
          <w:b/>
          <w:sz w:val="20"/>
          <w:szCs w:val="20"/>
        </w:rPr>
      </w:pPr>
      <w:r w:rsidRPr="0059639D">
        <w:rPr>
          <w:rFonts w:ascii="Arial" w:hAnsi="Arial" w:cs="Arial"/>
          <w:b/>
          <w:sz w:val="20"/>
          <w:szCs w:val="20"/>
        </w:rPr>
        <w:t>Learning</w:t>
      </w:r>
    </w:p>
    <w:p w:rsidR="00CD0989" w:rsidRPr="00CD0989" w:rsidRDefault="00284483" w:rsidP="000033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continue to develop a</w:t>
      </w:r>
      <w:r w:rsidR="00CD0989" w:rsidRPr="00CD0989">
        <w:rPr>
          <w:rFonts w:ascii="Arial" w:hAnsi="Arial" w:cs="Arial"/>
          <w:sz w:val="20"/>
          <w:szCs w:val="20"/>
        </w:rPr>
        <w:t xml:space="preserve"> consistent approach to planning and assessment to support effective learning and teaching.</w:t>
      </w:r>
    </w:p>
    <w:p w:rsidR="00DE171A" w:rsidRPr="00DE171A" w:rsidRDefault="00003375" w:rsidP="00003375">
      <w:pPr>
        <w:tabs>
          <w:tab w:val="left" w:pos="1080"/>
          <w:tab w:val="left" w:pos="50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E171A">
        <w:rPr>
          <w:rFonts w:ascii="Arial" w:hAnsi="Arial" w:cs="Arial"/>
          <w:b/>
          <w:bCs/>
          <w:sz w:val="20"/>
          <w:szCs w:val="20"/>
        </w:rPr>
        <w:t>This document has been completed following consultation with staff, pupils and the Parent Council.</w:t>
      </w:r>
      <w:r w:rsidR="00DE171A" w:rsidRPr="00DE171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E171A" w:rsidRPr="00566CB0" w:rsidRDefault="00596C82" w:rsidP="00566CB0">
      <w:pPr>
        <w:rPr>
          <w:rFonts w:ascii="Arial" w:hAnsi="Arial" w:cs="Arial"/>
          <w:b/>
          <w:sz w:val="20"/>
          <w:szCs w:val="20"/>
        </w:rPr>
      </w:pPr>
      <w:r w:rsidRPr="00DE171A">
        <w:rPr>
          <w:rFonts w:ascii="Arial" w:hAnsi="Arial" w:cs="Arial"/>
          <w:b/>
          <w:bCs/>
          <w:sz w:val="20"/>
          <w:szCs w:val="20"/>
        </w:rPr>
        <w:t xml:space="preserve">In preparing this </w:t>
      </w:r>
      <w:r w:rsidR="005B5C6D">
        <w:rPr>
          <w:rFonts w:ascii="Arial" w:hAnsi="Arial" w:cs="Arial"/>
          <w:b/>
          <w:bCs/>
          <w:sz w:val="20"/>
          <w:szCs w:val="20"/>
        </w:rPr>
        <w:t xml:space="preserve">report </w:t>
      </w:r>
      <w:r w:rsidRPr="00DE171A">
        <w:rPr>
          <w:rFonts w:ascii="Arial" w:hAnsi="Arial" w:cs="Arial"/>
          <w:b/>
          <w:bCs/>
          <w:sz w:val="20"/>
          <w:szCs w:val="20"/>
        </w:rPr>
        <w:t>areas for im</w:t>
      </w:r>
      <w:r w:rsidR="00566CB0">
        <w:rPr>
          <w:rFonts w:ascii="Arial" w:hAnsi="Arial" w:cs="Arial"/>
          <w:b/>
          <w:bCs/>
          <w:sz w:val="20"/>
          <w:szCs w:val="20"/>
        </w:rPr>
        <w:t xml:space="preserve">provement identified </w:t>
      </w:r>
      <w:r w:rsidR="005B5C6D">
        <w:rPr>
          <w:rFonts w:ascii="Arial" w:hAnsi="Arial" w:cs="Arial"/>
          <w:b/>
          <w:bCs/>
          <w:sz w:val="20"/>
          <w:szCs w:val="20"/>
        </w:rPr>
        <w:t xml:space="preserve">in the school’s Self Evaluation document and feedback from School Improvement visits </w:t>
      </w:r>
      <w:r w:rsidR="00D70FE6">
        <w:rPr>
          <w:rFonts w:ascii="Arial" w:hAnsi="Arial" w:cs="Arial"/>
          <w:b/>
          <w:bCs/>
          <w:sz w:val="20"/>
          <w:szCs w:val="20"/>
        </w:rPr>
        <w:t xml:space="preserve">were </w:t>
      </w:r>
      <w:r w:rsidR="005B5C6D">
        <w:rPr>
          <w:rFonts w:ascii="Arial" w:hAnsi="Arial" w:cs="Arial"/>
          <w:b/>
          <w:bCs/>
          <w:sz w:val="20"/>
          <w:szCs w:val="20"/>
        </w:rPr>
        <w:t>considered</w:t>
      </w:r>
      <w:r w:rsidR="00D70FE6">
        <w:rPr>
          <w:rFonts w:ascii="Arial" w:hAnsi="Arial" w:cs="Arial"/>
          <w:b/>
          <w:bCs/>
          <w:sz w:val="20"/>
          <w:szCs w:val="20"/>
        </w:rPr>
        <w:t xml:space="preserve"> and we are well placed in moving forward with our plans for continuous improvement.</w:t>
      </w:r>
    </w:p>
    <w:p w:rsidR="00003375" w:rsidRPr="00DE171A" w:rsidRDefault="00003375" w:rsidP="00003375">
      <w:pPr>
        <w:tabs>
          <w:tab w:val="left" w:pos="1080"/>
          <w:tab w:val="left" w:pos="50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E171A">
        <w:rPr>
          <w:rFonts w:ascii="Arial" w:hAnsi="Arial" w:cs="Arial"/>
          <w:b/>
          <w:bCs/>
          <w:sz w:val="20"/>
          <w:szCs w:val="20"/>
        </w:rPr>
        <w:t>Feedback / comments on the content of the document will be most welcome and should be sent directly to the Head Teacher.</w:t>
      </w:r>
    </w:p>
    <w:p w:rsidR="00D70645" w:rsidRPr="0059639D" w:rsidRDefault="00D70645" w:rsidP="00DE171A">
      <w:pPr>
        <w:rPr>
          <w:rFonts w:ascii="Arial" w:hAnsi="Arial" w:cs="Arial"/>
          <w:b/>
          <w:sz w:val="20"/>
          <w:szCs w:val="20"/>
        </w:rPr>
      </w:pPr>
    </w:p>
    <w:p w:rsidR="00702CC4" w:rsidRPr="0059639D" w:rsidRDefault="00702CC4" w:rsidP="00702CC4">
      <w:pPr>
        <w:jc w:val="center"/>
        <w:rPr>
          <w:rFonts w:ascii="Arial" w:hAnsi="Arial" w:cs="Arial"/>
          <w:b/>
          <w:sz w:val="20"/>
          <w:szCs w:val="20"/>
        </w:rPr>
      </w:pPr>
    </w:p>
    <w:p w:rsidR="00702CC4" w:rsidRPr="0059639D" w:rsidRDefault="00702CC4" w:rsidP="00702CC4">
      <w:pPr>
        <w:jc w:val="center"/>
        <w:rPr>
          <w:rFonts w:ascii="Arial" w:hAnsi="Arial" w:cs="Arial"/>
          <w:b/>
          <w:sz w:val="20"/>
          <w:szCs w:val="20"/>
        </w:rPr>
      </w:pPr>
      <w:r w:rsidRPr="0059639D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4E7262F" wp14:editId="12B0C07A">
            <wp:simplePos x="0" y="0"/>
            <wp:positionH relativeFrom="column">
              <wp:posOffset>1938655</wp:posOffset>
            </wp:positionH>
            <wp:positionV relativeFrom="paragraph">
              <wp:posOffset>-288925</wp:posOffset>
            </wp:positionV>
            <wp:extent cx="612775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C4" w:rsidRPr="0059639D" w:rsidRDefault="00702CC4" w:rsidP="00702CC4">
      <w:pPr>
        <w:jc w:val="center"/>
        <w:rPr>
          <w:rFonts w:ascii="Arial" w:hAnsi="Arial" w:cs="Arial"/>
          <w:b/>
          <w:sz w:val="20"/>
          <w:szCs w:val="20"/>
        </w:rPr>
      </w:pPr>
    </w:p>
    <w:p w:rsidR="00702CC4" w:rsidRPr="004B368C" w:rsidRDefault="00702CC4" w:rsidP="00702CC4">
      <w:pPr>
        <w:jc w:val="center"/>
        <w:rPr>
          <w:rFonts w:ascii="Arial" w:hAnsi="Arial" w:cs="Arial"/>
          <w:b/>
        </w:rPr>
      </w:pPr>
      <w:r w:rsidRPr="004B368C">
        <w:rPr>
          <w:rFonts w:ascii="Arial" w:hAnsi="Arial" w:cs="Arial"/>
          <w:b/>
        </w:rPr>
        <w:t>Alyth Primary School</w:t>
      </w:r>
    </w:p>
    <w:p w:rsidR="00702CC4" w:rsidRPr="004B368C" w:rsidRDefault="00963FEC" w:rsidP="00702CC4">
      <w:pPr>
        <w:jc w:val="center"/>
        <w:rPr>
          <w:rFonts w:ascii="Arial" w:hAnsi="Arial" w:cs="Arial"/>
          <w:b/>
        </w:rPr>
      </w:pPr>
      <w:r w:rsidRPr="004B368C">
        <w:rPr>
          <w:rFonts w:ascii="Arial" w:hAnsi="Arial" w:cs="Arial"/>
          <w:b/>
        </w:rPr>
        <w:t>Standards &amp; Quality Report 201</w:t>
      </w:r>
      <w:r w:rsidR="00E53C9F" w:rsidRPr="004B368C">
        <w:rPr>
          <w:rFonts w:ascii="Arial" w:hAnsi="Arial" w:cs="Arial"/>
          <w:b/>
        </w:rPr>
        <w:t>9</w:t>
      </w:r>
      <w:r w:rsidRPr="004B368C">
        <w:rPr>
          <w:rFonts w:ascii="Arial" w:hAnsi="Arial" w:cs="Arial"/>
          <w:b/>
        </w:rPr>
        <w:t>-20</w:t>
      </w:r>
      <w:r w:rsidR="00E53C9F" w:rsidRPr="004B368C">
        <w:rPr>
          <w:rFonts w:ascii="Arial" w:hAnsi="Arial" w:cs="Arial"/>
          <w:b/>
        </w:rPr>
        <w:t>20</w:t>
      </w:r>
    </w:p>
    <w:p w:rsidR="00003375" w:rsidRPr="004B368C" w:rsidRDefault="00003375" w:rsidP="00702CC4">
      <w:pPr>
        <w:jc w:val="center"/>
        <w:rPr>
          <w:rFonts w:ascii="Arial" w:hAnsi="Arial" w:cs="Arial"/>
          <w:b/>
        </w:rPr>
      </w:pPr>
    </w:p>
    <w:p w:rsidR="003820B5" w:rsidRPr="004B368C" w:rsidRDefault="003820B5" w:rsidP="003820B5">
      <w:pPr>
        <w:jc w:val="center"/>
        <w:rPr>
          <w:rFonts w:ascii="Arial" w:hAnsi="Arial" w:cs="Arial"/>
          <w:b/>
          <w:bCs/>
          <w:u w:val="single"/>
        </w:rPr>
      </w:pPr>
      <w:r w:rsidRPr="004B368C">
        <w:rPr>
          <w:rFonts w:ascii="Arial" w:hAnsi="Arial" w:cs="Arial"/>
          <w:b/>
          <w:bCs/>
          <w:u w:val="single"/>
        </w:rPr>
        <w:t>School Aims</w:t>
      </w:r>
    </w:p>
    <w:p w:rsidR="004B368C" w:rsidRDefault="004B368C" w:rsidP="004B368C">
      <w:pPr>
        <w:jc w:val="center"/>
        <w:rPr>
          <w:sz w:val="20"/>
          <w:szCs w:val="20"/>
        </w:rPr>
      </w:pPr>
      <w:r w:rsidRPr="004B368C">
        <w:rPr>
          <w:rFonts w:ascii="Arial" w:hAnsi="Arial" w:cs="Arial"/>
          <w:b/>
        </w:rPr>
        <w:t>Our Vision</w:t>
      </w:r>
      <w:r>
        <w:rPr>
          <w:sz w:val="20"/>
          <w:szCs w:val="20"/>
        </w:rPr>
        <w:t xml:space="preserve"> </w:t>
      </w:r>
    </w:p>
    <w:p w:rsidR="004B368C" w:rsidRDefault="004B368C" w:rsidP="004B368C">
      <w:pPr>
        <w:jc w:val="center"/>
        <w:rPr>
          <w:rFonts w:ascii="Arial" w:hAnsi="Arial" w:cs="Arial"/>
        </w:rPr>
      </w:pPr>
      <w:r w:rsidRPr="004B368C">
        <w:rPr>
          <w:rFonts w:ascii="Arial" w:hAnsi="Arial" w:cs="Arial"/>
        </w:rPr>
        <w:t xml:space="preserve"> “We live to learn”</w:t>
      </w:r>
    </w:p>
    <w:p w:rsidR="004B368C" w:rsidRPr="004B368C" w:rsidRDefault="004B368C" w:rsidP="004B368C">
      <w:pPr>
        <w:jc w:val="center"/>
        <w:rPr>
          <w:rFonts w:ascii="Arial" w:hAnsi="Arial" w:cs="Arial"/>
        </w:rPr>
      </w:pPr>
    </w:p>
    <w:p w:rsidR="004B368C" w:rsidRDefault="004B368C" w:rsidP="004B368C">
      <w:pPr>
        <w:jc w:val="center"/>
        <w:rPr>
          <w:sz w:val="20"/>
          <w:szCs w:val="20"/>
        </w:rPr>
      </w:pPr>
      <w:r w:rsidRPr="004B368C">
        <w:rPr>
          <w:rFonts w:ascii="Arial" w:hAnsi="Arial" w:cs="Arial"/>
          <w:b/>
        </w:rPr>
        <w:t>Our Values</w:t>
      </w:r>
      <w:r>
        <w:rPr>
          <w:sz w:val="20"/>
          <w:szCs w:val="20"/>
        </w:rPr>
        <w:t xml:space="preserve">  </w:t>
      </w:r>
    </w:p>
    <w:p w:rsidR="004B368C" w:rsidRDefault="004B368C" w:rsidP="004B368C">
      <w:pPr>
        <w:jc w:val="center"/>
        <w:rPr>
          <w:rFonts w:ascii="Arial" w:hAnsi="Arial" w:cs="Arial"/>
        </w:rPr>
      </w:pPr>
      <w:r w:rsidRPr="004B368C">
        <w:rPr>
          <w:rFonts w:ascii="Arial" w:hAnsi="Arial" w:cs="Arial"/>
        </w:rPr>
        <w:t>Ready, Respectful, Safe</w:t>
      </w:r>
    </w:p>
    <w:p w:rsidR="004B368C" w:rsidRPr="004B368C" w:rsidRDefault="004B368C" w:rsidP="004B368C">
      <w:pPr>
        <w:jc w:val="center"/>
        <w:rPr>
          <w:rFonts w:ascii="Arial" w:hAnsi="Arial" w:cs="Arial"/>
        </w:rPr>
      </w:pPr>
    </w:p>
    <w:p w:rsidR="004B368C" w:rsidRDefault="004B368C" w:rsidP="004B368C">
      <w:pPr>
        <w:jc w:val="center"/>
        <w:rPr>
          <w:sz w:val="20"/>
          <w:szCs w:val="20"/>
        </w:rPr>
      </w:pPr>
      <w:r w:rsidRPr="004B368C">
        <w:rPr>
          <w:rFonts w:ascii="Arial" w:hAnsi="Arial" w:cs="Arial"/>
          <w:b/>
        </w:rPr>
        <w:t>Our Priorities</w:t>
      </w:r>
      <w:r>
        <w:rPr>
          <w:sz w:val="20"/>
          <w:szCs w:val="20"/>
        </w:rPr>
        <w:t xml:space="preserve"> </w:t>
      </w:r>
    </w:p>
    <w:p w:rsidR="004B368C" w:rsidRDefault="004B368C" w:rsidP="004B368C">
      <w:pPr>
        <w:jc w:val="center"/>
        <w:rPr>
          <w:rFonts w:ascii="Arial" w:hAnsi="Arial" w:cs="Arial"/>
        </w:rPr>
      </w:pPr>
      <w:r w:rsidRPr="004B368C">
        <w:rPr>
          <w:rFonts w:ascii="Arial" w:hAnsi="Arial" w:cs="Arial"/>
        </w:rPr>
        <w:t xml:space="preserve">Best start </w:t>
      </w:r>
    </w:p>
    <w:p w:rsidR="004B368C" w:rsidRDefault="004B368C" w:rsidP="004B368C">
      <w:pPr>
        <w:jc w:val="center"/>
        <w:rPr>
          <w:rFonts w:ascii="Arial" w:hAnsi="Arial" w:cs="Arial"/>
        </w:rPr>
      </w:pPr>
      <w:r w:rsidRPr="004B368C">
        <w:rPr>
          <w:rFonts w:ascii="Arial" w:hAnsi="Arial" w:cs="Arial"/>
        </w:rPr>
        <w:t xml:space="preserve">Learning and Achievement </w:t>
      </w:r>
    </w:p>
    <w:p w:rsidR="004B368C" w:rsidRDefault="004B368C" w:rsidP="004B368C">
      <w:pPr>
        <w:jc w:val="center"/>
        <w:rPr>
          <w:rFonts w:ascii="Arial" w:hAnsi="Arial" w:cs="Arial"/>
        </w:rPr>
      </w:pPr>
      <w:r w:rsidRPr="004B368C">
        <w:rPr>
          <w:rFonts w:ascii="Arial" w:hAnsi="Arial" w:cs="Arial"/>
        </w:rPr>
        <w:t>Health and Wellbeing</w:t>
      </w:r>
    </w:p>
    <w:p w:rsidR="004B368C" w:rsidRDefault="004B368C" w:rsidP="004B368C">
      <w:pPr>
        <w:jc w:val="center"/>
        <w:rPr>
          <w:rFonts w:ascii="Arial" w:hAnsi="Arial" w:cs="Arial"/>
        </w:rPr>
      </w:pPr>
      <w:r w:rsidRPr="004B368C">
        <w:rPr>
          <w:rFonts w:ascii="Arial" w:hAnsi="Arial" w:cs="Arial"/>
        </w:rPr>
        <w:t>Care and Equity</w:t>
      </w:r>
    </w:p>
    <w:p w:rsidR="004B368C" w:rsidRDefault="004B368C" w:rsidP="005F79B1">
      <w:pPr>
        <w:jc w:val="center"/>
        <w:rPr>
          <w:rFonts w:ascii="Arial" w:hAnsi="Arial" w:cs="Arial"/>
        </w:rPr>
      </w:pPr>
      <w:r w:rsidRPr="004B368C">
        <w:rPr>
          <w:rFonts w:ascii="Arial" w:hAnsi="Arial" w:cs="Arial"/>
        </w:rPr>
        <w:t>Safe and Protected</w:t>
      </w:r>
    </w:p>
    <w:p w:rsidR="005F79B1" w:rsidRPr="005F79B1" w:rsidRDefault="005F79B1" w:rsidP="005F79B1">
      <w:pPr>
        <w:jc w:val="center"/>
        <w:rPr>
          <w:rFonts w:ascii="Arial" w:hAnsi="Arial" w:cs="Arial"/>
        </w:rPr>
      </w:pPr>
    </w:p>
    <w:p w:rsidR="00003375" w:rsidRDefault="00566CB0" w:rsidP="005164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Attendance, </w:t>
      </w:r>
      <w:r w:rsidR="0020794F" w:rsidRPr="0059639D">
        <w:rPr>
          <w:rFonts w:ascii="Arial" w:hAnsi="Arial" w:cs="Arial"/>
          <w:b/>
          <w:sz w:val="20"/>
          <w:szCs w:val="20"/>
        </w:rPr>
        <w:t>Attainment and Achieve</w:t>
      </w:r>
      <w:r w:rsidR="003820B5" w:rsidRPr="0059639D">
        <w:rPr>
          <w:rFonts w:ascii="Arial" w:hAnsi="Arial" w:cs="Arial"/>
          <w:b/>
          <w:sz w:val="20"/>
          <w:szCs w:val="20"/>
        </w:rPr>
        <w:t>ment</w:t>
      </w:r>
    </w:p>
    <w:p w:rsidR="00566CB0" w:rsidRPr="0059639D" w:rsidRDefault="00566CB0" w:rsidP="00566CB0">
      <w:pPr>
        <w:rPr>
          <w:rFonts w:ascii="Arial" w:hAnsi="Arial" w:cs="Arial"/>
          <w:b/>
          <w:sz w:val="20"/>
          <w:szCs w:val="20"/>
        </w:rPr>
      </w:pPr>
      <w:r w:rsidRPr="0059639D">
        <w:rPr>
          <w:rFonts w:ascii="Arial" w:hAnsi="Arial" w:cs="Arial"/>
          <w:b/>
          <w:sz w:val="20"/>
          <w:szCs w:val="20"/>
        </w:rPr>
        <w:t>Attendance</w:t>
      </w:r>
    </w:p>
    <w:p w:rsidR="00E53C9F" w:rsidRDefault="00566CB0" w:rsidP="00566CB0">
      <w:pPr>
        <w:pStyle w:val="NoSpacing"/>
        <w:rPr>
          <w:rFonts w:ascii="Arial" w:hAnsi="Arial" w:cs="Arial"/>
          <w:sz w:val="20"/>
          <w:szCs w:val="20"/>
        </w:rPr>
      </w:pPr>
      <w:r w:rsidRPr="0059639D">
        <w:rPr>
          <w:rFonts w:ascii="Arial" w:hAnsi="Arial" w:cs="Arial"/>
          <w:sz w:val="20"/>
          <w:szCs w:val="20"/>
        </w:rPr>
        <w:t>Attendance is expressed as the average number of half days per pupil.</w:t>
      </w:r>
    </w:p>
    <w:p w:rsidR="00566CB0" w:rsidRDefault="00566CB0" w:rsidP="00566CB0">
      <w:pPr>
        <w:pStyle w:val="NoSpacing"/>
        <w:rPr>
          <w:rFonts w:ascii="Arial" w:hAnsi="Arial" w:cs="Arial"/>
          <w:sz w:val="20"/>
          <w:szCs w:val="20"/>
        </w:rPr>
      </w:pPr>
      <w:r w:rsidRPr="0059639D">
        <w:rPr>
          <w:rFonts w:ascii="Arial" w:hAnsi="Arial" w:cs="Arial"/>
          <w:sz w:val="20"/>
          <w:szCs w:val="20"/>
        </w:rPr>
        <w:t>2017-18:</w:t>
      </w:r>
      <w:r>
        <w:rPr>
          <w:rFonts w:ascii="Arial" w:hAnsi="Arial" w:cs="Arial"/>
          <w:sz w:val="20"/>
          <w:szCs w:val="20"/>
        </w:rPr>
        <w:t xml:space="preserve">  94.4%</w:t>
      </w:r>
      <w:r>
        <w:rPr>
          <w:rFonts w:ascii="Arial" w:hAnsi="Arial" w:cs="Arial"/>
          <w:sz w:val="20"/>
          <w:szCs w:val="20"/>
        </w:rPr>
        <w:tab/>
        <w:t>2018-19</w:t>
      </w:r>
      <w:r w:rsidR="004A50C9">
        <w:rPr>
          <w:rFonts w:ascii="Arial" w:hAnsi="Arial" w:cs="Arial"/>
          <w:sz w:val="20"/>
          <w:szCs w:val="20"/>
        </w:rPr>
        <w:t>:</w:t>
      </w:r>
      <w:r w:rsidR="00284483">
        <w:rPr>
          <w:rFonts w:ascii="Arial" w:hAnsi="Arial" w:cs="Arial"/>
          <w:sz w:val="20"/>
          <w:szCs w:val="20"/>
        </w:rPr>
        <w:t xml:space="preserve">  </w:t>
      </w:r>
      <w:r w:rsidR="005A6F78">
        <w:rPr>
          <w:rFonts w:ascii="Arial" w:hAnsi="Arial" w:cs="Arial"/>
          <w:sz w:val="20"/>
          <w:szCs w:val="20"/>
        </w:rPr>
        <w:t>94.3%</w:t>
      </w:r>
      <w:r w:rsidR="00284483">
        <w:rPr>
          <w:rFonts w:ascii="Arial" w:hAnsi="Arial" w:cs="Arial"/>
          <w:sz w:val="20"/>
          <w:szCs w:val="20"/>
        </w:rPr>
        <w:tab/>
      </w:r>
      <w:r w:rsidR="00E53C9F">
        <w:rPr>
          <w:rFonts w:ascii="Arial" w:hAnsi="Arial" w:cs="Arial"/>
          <w:sz w:val="20"/>
          <w:szCs w:val="20"/>
        </w:rPr>
        <w:t>2019-20:</w:t>
      </w:r>
      <w:r w:rsidR="00284483">
        <w:rPr>
          <w:rFonts w:ascii="Arial" w:hAnsi="Arial" w:cs="Arial"/>
          <w:sz w:val="20"/>
          <w:szCs w:val="20"/>
        </w:rPr>
        <w:t xml:space="preserve">  93.1%</w:t>
      </w:r>
      <w:r w:rsidR="004B368C">
        <w:rPr>
          <w:rFonts w:ascii="Arial" w:hAnsi="Arial" w:cs="Arial"/>
          <w:sz w:val="20"/>
          <w:szCs w:val="20"/>
        </w:rPr>
        <w:t xml:space="preserve"> (March 2020)</w:t>
      </w:r>
    </w:p>
    <w:p w:rsidR="00566CB0" w:rsidRPr="00566CB0" w:rsidRDefault="00566CB0" w:rsidP="00566CB0">
      <w:pPr>
        <w:pStyle w:val="NoSpacing"/>
        <w:rPr>
          <w:rFonts w:ascii="Arial" w:hAnsi="Arial" w:cs="Arial"/>
          <w:sz w:val="20"/>
          <w:szCs w:val="20"/>
        </w:rPr>
      </w:pPr>
    </w:p>
    <w:p w:rsidR="00003375" w:rsidRPr="0059639D" w:rsidRDefault="00003375" w:rsidP="00003375">
      <w:pPr>
        <w:rPr>
          <w:rFonts w:ascii="Arial" w:hAnsi="Arial" w:cs="Arial"/>
          <w:b/>
          <w:sz w:val="20"/>
          <w:szCs w:val="20"/>
        </w:rPr>
      </w:pPr>
      <w:r w:rsidRPr="0059639D">
        <w:rPr>
          <w:rFonts w:ascii="Arial" w:hAnsi="Arial" w:cs="Arial"/>
          <w:b/>
          <w:sz w:val="20"/>
          <w:szCs w:val="20"/>
        </w:rPr>
        <w:t>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15"/>
      </w:tblGrid>
      <w:tr w:rsidR="004932C4" w:rsidRPr="0059639D" w:rsidTr="004932C4">
        <w:tc>
          <w:tcPr>
            <w:tcW w:w="1526" w:type="dxa"/>
          </w:tcPr>
          <w:p w:rsidR="004932C4" w:rsidRPr="0059639D" w:rsidRDefault="004932C4" w:rsidP="00003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2C4" w:rsidRPr="0059639D" w:rsidRDefault="004932C4" w:rsidP="00003375">
            <w:pPr>
              <w:rPr>
                <w:rFonts w:ascii="Arial" w:hAnsi="Arial" w:cs="Arial"/>
                <w:sz w:val="20"/>
                <w:szCs w:val="20"/>
              </w:rPr>
            </w:pPr>
            <w:r w:rsidRPr="0059639D">
              <w:rPr>
                <w:rFonts w:ascii="Arial" w:hAnsi="Arial" w:cs="Arial"/>
                <w:sz w:val="20"/>
                <w:szCs w:val="20"/>
              </w:rPr>
              <w:t>Early</w:t>
            </w:r>
          </w:p>
          <w:p w:rsidR="004932C4" w:rsidRPr="0059639D" w:rsidRDefault="004932C4" w:rsidP="000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</w:tcPr>
          <w:p w:rsidR="004932C4" w:rsidRPr="0059639D" w:rsidRDefault="004932C4" w:rsidP="00003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2C4" w:rsidRPr="0059639D" w:rsidRDefault="004932C4" w:rsidP="00003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39D">
              <w:rPr>
                <w:rFonts w:ascii="Arial" w:hAnsi="Arial" w:cs="Arial"/>
                <w:sz w:val="20"/>
                <w:szCs w:val="20"/>
              </w:rPr>
              <w:t>The pre-school years and P1, or later for some.</w:t>
            </w:r>
          </w:p>
        </w:tc>
      </w:tr>
      <w:tr w:rsidR="004932C4" w:rsidRPr="0059639D" w:rsidTr="004932C4">
        <w:tc>
          <w:tcPr>
            <w:tcW w:w="1526" w:type="dxa"/>
          </w:tcPr>
          <w:p w:rsidR="004932C4" w:rsidRPr="0059639D" w:rsidRDefault="004932C4" w:rsidP="00003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2C4" w:rsidRPr="0059639D" w:rsidRDefault="004932C4" w:rsidP="00003375">
            <w:pPr>
              <w:rPr>
                <w:rFonts w:ascii="Arial" w:hAnsi="Arial" w:cs="Arial"/>
                <w:sz w:val="20"/>
                <w:szCs w:val="20"/>
              </w:rPr>
            </w:pPr>
            <w:r w:rsidRPr="0059639D">
              <w:rPr>
                <w:rFonts w:ascii="Arial" w:hAnsi="Arial" w:cs="Arial"/>
                <w:sz w:val="20"/>
                <w:szCs w:val="20"/>
              </w:rPr>
              <w:t>First</w:t>
            </w:r>
          </w:p>
          <w:p w:rsidR="004932C4" w:rsidRPr="0059639D" w:rsidRDefault="004932C4" w:rsidP="0000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</w:tcPr>
          <w:p w:rsidR="004932C4" w:rsidRPr="0059639D" w:rsidRDefault="004932C4" w:rsidP="002C1596">
            <w:pPr>
              <w:pStyle w:val="Default"/>
              <w:rPr>
                <w:sz w:val="20"/>
                <w:szCs w:val="20"/>
              </w:rPr>
            </w:pPr>
          </w:p>
          <w:p w:rsidR="004932C4" w:rsidRPr="0059639D" w:rsidRDefault="004932C4" w:rsidP="002C1596">
            <w:pPr>
              <w:pStyle w:val="Default"/>
              <w:rPr>
                <w:sz w:val="20"/>
                <w:szCs w:val="20"/>
              </w:rPr>
            </w:pPr>
            <w:r w:rsidRPr="0059639D">
              <w:rPr>
                <w:sz w:val="20"/>
                <w:szCs w:val="20"/>
              </w:rPr>
              <w:t xml:space="preserve">To the end of P4, but earlier or later for some. </w:t>
            </w:r>
          </w:p>
        </w:tc>
      </w:tr>
      <w:tr w:rsidR="004932C4" w:rsidRPr="0059639D" w:rsidTr="004932C4">
        <w:tc>
          <w:tcPr>
            <w:tcW w:w="1526" w:type="dxa"/>
          </w:tcPr>
          <w:p w:rsidR="004932C4" w:rsidRPr="0059639D" w:rsidRDefault="004932C4" w:rsidP="00003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2C4" w:rsidRPr="0059639D" w:rsidRDefault="004932C4" w:rsidP="00003375">
            <w:pPr>
              <w:rPr>
                <w:rFonts w:ascii="Arial" w:hAnsi="Arial" w:cs="Arial"/>
                <w:sz w:val="20"/>
                <w:szCs w:val="20"/>
              </w:rPr>
            </w:pPr>
            <w:r w:rsidRPr="0059639D">
              <w:rPr>
                <w:rFonts w:ascii="Arial" w:hAnsi="Arial" w:cs="Arial"/>
                <w:sz w:val="20"/>
                <w:szCs w:val="20"/>
              </w:rPr>
              <w:t>Second</w:t>
            </w:r>
          </w:p>
        </w:tc>
        <w:tc>
          <w:tcPr>
            <w:tcW w:w="5315" w:type="dxa"/>
          </w:tcPr>
          <w:p w:rsidR="004932C4" w:rsidRPr="0059639D" w:rsidRDefault="004932C4" w:rsidP="00003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2C4" w:rsidRPr="0059639D" w:rsidRDefault="004932C4" w:rsidP="00003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39D">
              <w:rPr>
                <w:rFonts w:ascii="Arial" w:hAnsi="Arial" w:cs="Arial"/>
                <w:sz w:val="20"/>
                <w:szCs w:val="20"/>
              </w:rPr>
              <w:t>To the end of P7, but earlier or later for some.</w:t>
            </w:r>
          </w:p>
        </w:tc>
      </w:tr>
    </w:tbl>
    <w:p w:rsidR="004932C4" w:rsidRDefault="004932C4" w:rsidP="00003375">
      <w:pPr>
        <w:rPr>
          <w:rFonts w:ascii="Arial" w:hAnsi="Arial" w:cs="Arial"/>
          <w:b/>
          <w:sz w:val="20"/>
          <w:szCs w:val="20"/>
        </w:rPr>
      </w:pPr>
    </w:p>
    <w:p w:rsidR="00284483" w:rsidRPr="00284483" w:rsidRDefault="00284483" w:rsidP="000033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2020:</w:t>
      </w:r>
    </w:p>
    <w:p w:rsidR="004932C4" w:rsidRPr="0059639D" w:rsidRDefault="00094E04" w:rsidP="00FE36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4932C4" w:rsidRPr="0059639D">
        <w:rPr>
          <w:rFonts w:ascii="Arial" w:hAnsi="Arial" w:cs="Arial"/>
          <w:bCs/>
          <w:sz w:val="20"/>
          <w:szCs w:val="20"/>
        </w:rPr>
        <w:t>Primary 1</w:t>
      </w:r>
      <w:r w:rsidR="00AE7921">
        <w:rPr>
          <w:rFonts w:ascii="Arial" w:hAnsi="Arial" w:cs="Arial"/>
          <w:sz w:val="20"/>
          <w:szCs w:val="20"/>
        </w:rPr>
        <w:t xml:space="preserve">, most </w:t>
      </w:r>
      <w:r w:rsidR="008031EB">
        <w:rPr>
          <w:rFonts w:ascii="Arial" w:hAnsi="Arial" w:cs="Arial"/>
          <w:sz w:val="20"/>
          <w:szCs w:val="20"/>
        </w:rPr>
        <w:t>pupils</w:t>
      </w:r>
      <w:r w:rsidR="00924E83" w:rsidRPr="005963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on track to achieve early level</w:t>
      </w:r>
      <w:r w:rsidR="0013715A" w:rsidRPr="0059639D">
        <w:rPr>
          <w:rFonts w:ascii="Arial" w:hAnsi="Arial" w:cs="Arial"/>
          <w:sz w:val="20"/>
          <w:szCs w:val="20"/>
        </w:rPr>
        <w:t xml:space="preserve"> in </w:t>
      </w:r>
      <w:r w:rsidR="00AE7921">
        <w:rPr>
          <w:rFonts w:ascii="Arial" w:hAnsi="Arial" w:cs="Arial"/>
          <w:sz w:val="20"/>
          <w:szCs w:val="20"/>
        </w:rPr>
        <w:t>listening and talking, reading, writing</w:t>
      </w:r>
      <w:r w:rsidR="00924E83" w:rsidRPr="0059639D">
        <w:rPr>
          <w:rFonts w:ascii="Arial" w:hAnsi="Arial" w:cs="Arial"/>
          <w:sz w:val="20"/>
          <w:szCs w:val="20"/>
        </w:rPr>
        <w:t xml:space="preserve"> and </w:t>
      </w:r>
      <w:r w:rsidR="00AE7921">
        <w:rPr>
          <w:rFonts w:ascii="Arial" w:hAnsi="Arial" w:cs="Arial"/>
          <w:sz w:val="20"/>
          <w:szCs w:val="20"/>
        </w:rPr>
        <w:t>numeracy.</w:t>
      </w:r>
      <w:r w:rsidR="0013715A" w:rsidRPr="0059639D">
        <w:rPr>
          <w:rFonts w:ascii="Arial" w:hAnsi="Arial" w:cs="Arial"/>
          <w:sz w:val="20"/>
          <w:szCs w:val="20"/>
        </w:rPr>
        <w:t xml:space="preserve"> </w:t>
      </w:r>
    </w:p>
    <w:p w:rsidR="008031EB" w:rsidRDefault="00094E04" w:rsidP="00924E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924E83" w:rsidRPr="0059639D">
        <w:rPr>
          <w:rFonts w:ascii="Arial" w:hAnsi="Arial" w:cs="Arial"/>
          <w:bCs/>
          <w:sz w:val="20"/>
          <w:szCs w:val="20"/>
        </w:rPr>
        <w:t>Primary 4</w:t>
      </w:r>
      <w:r w:rsidR="00AE7921">
        <w:rPr>
          <w:rFonts w:ascii="Arial" w:hAnsi="Arial" w:cs="Arial"/>
          <w:sz w:val="20"/>
          <w:szCs w:val="20"/>
        </w:rPr>
        <w:t xml:space="preserve">, most </w:t>
      </w:r>
      <w:r w:rsidR="008031EB">
        <w:rPr>
          <w:rFonts w:ascii="Arial" w:hAnsi="Arial" w:cs="Arial"/>
          <w:sz w:val="20"/>
          <w:szCs w:val="20"/>
        </w:rPr>
        <w:t>pupils</w:t>
      </w:r>
      <w:r w:rsidR="00924E83" w:rsidRPr="005963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on track to achieve </w:t>
      </w:r>
      <w:r w:rsidR="008031EB">
        <w:rPr>
          <w:rFonts w:ascii="Arial" w:hAnsi="Arial" w:cs="Arial"/>
          <w:sz w:val="20"/>
          <w:szCs w:val="20"/>
        </w:rPr>
        <w:t>first level</w:t>
      </w:r>
      <w:r w:rsidR="00924E83" w:rsidRPr="0059639D">
        <w:rPr>
          <w:rFonts w:ascii="Arial" w:hAnsi="Arial" w:cs="Arial"/>
          <w:sz w:val="20"/>
          <w:szCs w:val="20"/>
        </w:rPr>
        <w:t xml:space="preserve"> in </w:t>
      </w:r>
      <w:r w:rsidR="00AE7921">
        <w:rPr>
          <w:rFonts w:ascii="Arial" w:hAnsi="Arial" w:cs="Arial"/>
          <w:sz w:val="20"/>
          <w:szCs w:val="20"/>
        </w:rPr>
        <w:t>listening and talking</w:t>
      </w:r>
      <w:r w:rsidR="008031EB">
        <w:rPr>
          <w:rFonts w:ascii="Arial" w:hAnsi="Arial" w:cs="Arial"/>
          <w:sz w:val="20"/>
          <w:szCs w:val="20"/>
        </w:rPr>
        <w:t xml:space="preserve"> </w:t>
      </w:r>
      <w:r w:rsidR="00AE7921">
        <w:rPr>
          <w:rFonts w:ascii="Arial" w:hAnsi="Arial" w:cs="Arial"/>
          <w:sz w:val="20"/>
          <w:szCs w:val="20"/>
        </w:rPr>
        <w:t xml:space="preserve">and numeracy and the majority of </w:t>
      </w:r>
      <w:r w:rsidR="008031EB">
        <w:rPr>
          <w:rFonts w:ascii="Arial" w:hAnsi="Arial" w:cs="Arial"/>
          <w:sz w:val="20"/>
          <w:szCs w:val="20"/>
        </w:rPr>
        <w:t>pupils</w:t>
      </w:r>
      <w:r w:rsidR="00924E83" w:rsidRPr="0059639D">
        <w:rPr>
          <w:rFonts w:ascii="Arial" w:hAnsi="Arial" w:cs="Arial"/>
          <w:sz w:val="20"/>
          <w:szCs w:val="20"/>
        </w:rPr>
        <w:t xml:space="preserve"> </w:t>
      </w:r>
      <w:r w:rsidR="008031EB">
        <w:rPr>
          <w:rFonts w:ascii="Arial" w:hAnsi="Arial" w:cs="Arial"/>
          <w:sz w:val="20"/>
          <w:szCs w:val="20"/>
        </w:rPr>
        <w:t>are on track to achieve first level in reading and writing.</w:t>
      </w:r>
    </w:p>
    <w:p w:rsidR="00924E83" w:rsidRPr="0059639D" w:rsidRDefault="008031EB" w:rsidP="00924E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924E83" w:rsidRPr="0059639D">
        <w:rPr>
          <w:rFonts w:ascii="Arial" w:hAnsi="Arial" w:cs="Arial"/>
          <w:bCs/>
          <w:sz w:val="20"/>
          <w:szCs w:val="20"/>
        </w:rPr>
        <w:t>Primary 7</w:t>
      </w:r>
      <w:r w:rsidR="00924E83" w:rsidRPr="005963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most pupils are on track to achieve second level in listening and talking and the majority of pupils are on track to achieve second level in reading, writing and numeracy.</w:t>
      </w:r>
    </w:p>
    <w:p w:rsidR="005164A1" w:rsidRPr="0059639D" w:rsidRDefault="005164A1" w:rsidP="005164A1">
      <w:pPr>
        <w:pStyle w:val="NoSpacing"/>
        <w:rPr>
          <w:rFonts w:ascii="Arial" w:hAnsi="Arial" w:cs="Arial"/>
          <w:sz w:val="20"/>
          <w:szCs w:val="20"/>
        </w:rPr>
      </w:pPr>
    </w:p>
    <w:p w:rsidR="00003375" w:rsidRPr="0059639D" w:rsidRDefault="00003375" w:rsidP="00003375">
      <w:pPr>
        <w:rPr>
          <w:rFonts w:ascii="Arial" w:hAnsi="Arial" w:cs="Arial"/>
          <w:b/>
          <w:sz w:val="20"/>
          <w:szCs w:val="20"/>
        </w:rPr>
      </w:pPr>
      <w:r w:rsidRPr="0059639D">
        <w:rPr>
          <w:rFonts w:ascii="Arial" w:hAnsi="Arial" w:cs="Arial"/>
          <w:b/>
          <w:sz w:val="20"/>
          <w:szCs w:val="20"/>
        </w:rPr>
        <w:t>Achievement</w:t>
      </w:r>
    </w:p>
    <w:p w:rsidR="00B34F9B" w:rsidRPr="0059639D" w:rsidRDefault="00963FEC" w:rsidP="00B34F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area 201</w:t>
      </w:r>
      <w:r w:rsidR="00094E0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-20</w:t>
      </w:r>
      <w:r w:rsidR="00094E04">
        <w:rPr>
          <w:rFonts w:ascii="Arial" w:hAnsi="Arial" w:cs="Arial"/>
          <w:sz w:val="20"/>
          <w:szCs w:val="20"/>
        </w:rPr>
        <w:t>20</w:t>
      </w:r>
      <w:r w:rsidR="00084A46" w:rsidRPr="0059639D">
        <w:rPr>
          <w:rFonts w:ascii="Arial" w:hAnsi="Arial" w:cs="Arial"/>
          <w:sz w:val="20"/>
          <w:szCs w:val="20"/>
        </w:rPr>
        <w:t>:</w:t>
      </w:r>
    </w:p>
    <w:p w:rsidR="00094E04" w:rsidRPr="00094E04" w:rsidRDefault="00094E04" w:rsidP="00094E04">
      <w:pPr>
        <w:pStyle w:val="NoSpacing"/>
        <w:rPr>
          <w:i/>
        </w:rPr>
      </w:pPr>
      <w:r w:rsidRPr="00094E04">
        <w:rPr>
          <w:i/>
        </w:rPr>
        <w:t>The understanding and uptake of good health and wellbeing habits across our school communities and the wider community will be raised.</w:t>
      </w:r>
    </w:p>
    <w:p w:rsidR="005164A1" w:rsidRPr="00094E04" w:rsidRDefault="00003375" w:rsidP="00094E04">
      <w:pPr>
        <w:pStyle w:val="NoSpacing"/>
      </w:pPr>
      <w:r w:rsidRPr="0059639D">
        <w:t>Progress in this area was</w:t>
      </w:r>
      <w:r w:rsidR="00963FEC">
        <w:t xml:space="preserve"> </w:t>
      </w:r>
      <w:r w:rsidR="00345A73">
        <w:t>good.</w:t>
      </w:r>
    </w:p>
    <w:p w:rsidR="00243793" w:rsidRDefault="00243793" w:rsidP="0024379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staff have a shared understanding of the Eastern Perthshire Schools &amp; Community Health &amp; Wellbeing Strategy 2019-2024.</w:t>
      </w:r>
    </w:p>
    <w:p w:rsidR="00243793" w:rsidRDefault="00243793" w:rsidP="0024379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started our journey towards achieving</w:t>
      </w:r>
      <w:r w:rsidR="0094792F">
        <w:rPr>
          <w:rFonts w:ascii="Arial" w:hAnsi="Arial" w:cs="Arial"/>
          <w:sz w:val="20"/>
          <w:szCs w:val="20"/>
        </w:rPr>
        <w:t xml:space="preserve"> ‘The Rights Respecting Schools Bronze Award’.</w:t>
      </w:r>
    </w:p>
    <w:p w:rsidR="0094792F" w:rsidRDefault="0094792F" w:rsidP="0024379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made a good start in developing a Relationships Policy based around the work of Paul Dix and the book ‘When the Adults Change Everything Changes’.</w:t>
      </w:r>
    </w:p>
    <w:p w:rsidR="0094792F" w:rsidRDefault="0094792F" w:rsidP="0024379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Bounceback programme continue</w:t>
      </w:r>
      <w:r w:rsidR="005B5C6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to be implemented in all classes to support teachers to promote positive mental health, wellbeing and resilience for learners.</w:t>
      </w:r>
    </w:p>
    <w:p w:rsidR="0094792F" w:rsidRDefault="0094792F" w:rsidP="0024379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 collaboration was evident with </w:t>
      </w:r>
      <w:r w:rsidR="005B5C6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Scottish Government’s Children and Young People Improvement Collaborative and colleagues within and across authorities to implement a ‘Sleep Project’.</w:t>
      </w:r>
    </w:p>
    <w:p w:rsidR="00B2553E" w:rsidRPr="0059639D" w:rsidRDefault="00B2553E" w:rsidP="0024379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96726D" w:rsidRPr="0059639D" w:rsidRDefault="0096726D" w:rsidP="005164A1">
      <w:pPr>
        <w:pStyle w:val="NoSpacing"/>
        <w:rPr>
          <w:rFonts w:ascii="Arial" w:hAnsi="Arial" w:cs="Arial"/>
          <w:sz w:val="20"/>
          <w:szCs w:val="20"/>
        </w:rPr>
      </w:pPr>
    </w:p>
    <w:p w:rsidR="0020794F" w:rsidRPr="0059639D" w:rsidRDefault="0020794F" w:rsidP="0020794F">
      <w:pPr>
        <w:jc w:val="center"/>
        <w:rPr>
          <w:rFonts w:ascii="Arial" w:hAnsi="Arial" w:cs="Arial"/>
          <w:b/>
          <w:sz w:val="20"/>
          <w:szCs w:val="20"/>
        </w:rPr>
      </w:pPr>
      <w:r w:rsidRPr="0059639D">
        <w:rPr>
          <w:rFonts w:ascii="Arial" w:hAnsi="Arial" w:cs="Arial"/>
          <w:b/>
          <w:sz w:val="20"/>
          <w:szCs w:val="20"/>
        </w:rPr>
        <w:t>Learning</w:t>
      </w:r>
    </w:p>
    <w:p w:rsidR="00084A46" w:rsidRDefault="00CD0989" w:rsidP="00B34F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area 201</w:t>
      </w:r>
      <w:r w:rsidR="00094E0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-20</w:t>
      </w:r>
      <w:r w:rsidR="00094E04">
        <w:rPr>
          <w:rFonts w:ascii="Arial" w:hAnsi="Arial" w:cs="Arial"/>
          <w:sz w:val="20"/>
          <w:szCs w:val="20"/>
        </w:rPr>
        <w:t>20</w:t>
      </w:r>
      <w:r w:rsidR="00084A46" w:rsidRPr="0059639D">
        <w:rPr>
          <w:rFonts w:ascii="Arial" w:hAnsi="Arial" w:cs="Arial"/>
          <w:sz w:val="20"/>
          <w:szCs w:val="20"/>
        </w:rPr>
        <w:t>:</w:t>
      </w:r>
    </w:p>
    <w:p w:rsidR="00094E04" w:rsidRPr="00094E04" w:rsidRDefault="00094E04" w:rsidP="00094E04">
      <w:pPr>
        <w:pStyle w:val="NoSpacing"/>
        <w:rPr>
          <w:i/>
        </w:rPr>
      </w:pPr>
      <w:r w:rsidRPr="00094E04">
        <w:rPr>
          <w:i/>
        </w:rPr>
        <w:t>A consistent approach to planning and assessment will be in place to support effective learning and teaching.</w:t>
      </w:r>
    </w:p>
    <w:p w:rsidR="0020794F" w:rsidRPr="00094E04" w:rsidRDefault="00003375" w:rsidP="0020794F">
      <w:pPr>
        <w:rPr>
          <w:rFonts w:ascii="Arial" w:hAnsi="Arial" w:cs="Arial"/>
          <w:i/>
          <w:sz w:val="20"/>
          <w:szCs w:val="20"/>
        </w:rPr>
      </w:pPr>
      <w:r w:rsidRPr="0059639D">
        <w:rPr>
          <w:rFonts w:ascii="Arial" w:hAnsi="Arial" w:cs="Arial"/>
          <w:sz w:val="20"/>
          <w:szCs w:val="20"/>
        </w:rPr>
        <w:t>Progress in this area was</w:t>
      </w:r>
      <w:r w:rsidR="00AB3095" w:rsidRPr="0059639D">
        <w:rPr>
          <w:rFonts w:ascii="Arial" w:hAnsi="Arial" w:cs="Arial"/>
          <w:sz w:val="20"/>
          <w:szCs w:val="20"/>
        </w:rPr>
        <w:t xml:space="preserve"> </w:t>
      </w:r>
      <w:r w:rsidR="00284483">
        <w:rPr>
          <w:rFonts w:ascii="Arial" w:hAnsi="Arial" w:cs="Arial"/>
          <w:sz w:val="20"/>
          <w:szCs w:val="20"/>
        </w:rPr>
        <w:t>satisfactory</w:t>
      </w:r>
      <w:r w:rsidR="00345A73">
        <w:rPr>
          <w:rFonts w:ascii="Arial" w:hAnsi="Arial" w:cs="Arial"/>
          <w:sz w:val="20"/>
          <w:szCs w:val="20"/>
        </w:rPr>
        <w:t>.</w:t>
      </w:r>
    </w:p>
    <w:p w:rsidR="00BB3B40" w:rsidRDefault="00284483" w:rsidP="00FE573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positive impact was evident following the introduction of a new digital planning system – providing active, engaging and progressive learning experiences for all pupils across the four contexts for learning.</w:t>
      </w:r>
    </w:p>
    <w:p w:rsidR="00284483" w:rsidRDefault="00284483" w:rsidP="00FE573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and Tracking meetings continued to focus on Assessment Data Analysis including Closing our </w:t>
      </w:r>
      <w:r w:rsidR="002E3A7D">
        <w:rPr>
          <w:rFonts w:ascii="Arial" w:hAnsi="Arial" w:cs="Arial"/>
          <w:sz w:val="20"/>
          <w:szCs w:val="20"/>
        </w:rPr>
        <w:t>Gaps Statistics.</w:t>
      </w:r>
    </w:p>
    <w:p w:rsidR="002E3A7D" w:rsidRDefault="002E3A7D" w:rsidP="00FE573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Tracking and prediction information was supported by </w:t>
      </w:r>
      <w:r w:rsidR="005B0E45">
        <w:rPr>
          <w:rFonts w:ascii="Arial" w:hAnsi="Arial" w:cs="Arial"/>
          <w:sz w:val="20"/>
          <w:szCs w:val="20"/>
        </w:rPr>
        <w:t>assessment information.</w:t>
      </w:r>
    </w:p>
    <w:p w:rsidR="002E3A7D" w:rsidRPr="00FE573A" w:rsidRDefault="002E3A7D" w:rsidP="00FE573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nursery through visible learning there has been an increase in how evidence is used to create innovation in the learning environment.</w:t>
      </w:r>
    </w:p>
    <w:p w:rsidR="00BD34D8" w:rsidRPr="0059639D" w:rsidRDefault="00BD34D8" w:rsidP="00BD34D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0794F" w:rsidRPr="0059639D" w:rsidRDefault="0020794F" w:rsidP="0020794F">
      <w:pPr>
        <w:jc w:val="center"/>
        <w:rPr>
          <w:rFonts w:ascii="Arial" w:hAnsi="Arial" w:cs="Arial"/>
          <w:b/>
          <w:sz w:val="20"/>
          <w:szCs w:val="20"/>
        </w:rPr>
      </w:pPr>
      <w:r w:rsidRPr="0059639D">
        <w:rPr>
          <w:rFonts w:ascii="Arial" w:hAnsi="Arial" w:cs="Arial"/>
          <w:b/>
          <w:sz w:val="20"/>
          <w:szCs w:val="20"/>
        </w:rPr>
        <w:t>Leadership</w:t>
      </w:r>
      <w:bookmarkStart w:id="0" w:name="_GoBack"/>
      <w:bookmarkEnd w:id="0"/>
    </w:p>
    <w:p w:rsidR="00084A46" w:rsidRDefault="00DF596E" w:rsidP="00B34F9B">
      <w:pPr>
        <w:pStyle w:val="NoSpacing"/>
        <w:rPr>
          <w:rFonts w:ascii="Arial" w:hAnsi="Arial" w:cs="Arial"/>
          <w:sz w:val="20"/>
          <w:szCs w:val="20"/>
        </w:rPr>
      </w:pPr>
      <w:r w:rsidRPr="0059639D">
        <w:rPr>
          <w:rFonts w:ascii="Arial" w:hAnsi="Arial" w:cs="Arial"/>
          <w:sz w:val="20"/>
          <w:szCs w:val="20"/>
        </w:rPr>
        <w:t>Development a</w:t>
      </w:r>
      <w:r w:rsidR="00CD0989">
        <w:rPr>
          <w:rFonts w:ascii="Arial" w:hAnsi="Arial" w:cs="Arial"/>
          <w:sz w:val="20"/>
          <w:szCs w:val="20"/>
        </w:rPr>
        <w:t>rea 201</w:t>
      </w:r>
      <w:r w:rsidR="00094E04">
        <w:rPr>
          <w:rFonts w:ascii="Arial" w:hAnsi="Arial" w:cs="Arial"/>
          <w:sz w:val="20"/>
          <w:szCs w:val="20"/>
        </w:rPr>
        <w:t>9</w:t>
      </w:r>
      <w:r w:rsidR="00CD0989">
        <w:rPr>
          <w:rFonts w:ascii="Arial" w:hAnsi="Arial" w:cs="Arial"/>
          <w:sz w:val="20"/>
          <w:szCs w:val="20"/>
        </w:rPr>
        <w:t>-20</w:t>
      </w:r>
      <w:r w:rsidR="00094E04">
        <w:rPr>
          <w:rFonts w:ascii="Arial" w:hAnsi="Arial" w:cs="Arial"/>
          <w:sz w:val="20"/>
          <w:szCs w:val="20"/>
        </w:rPr>
        <w:t>20</w:t>
      </w:r>
      <w:r w:rsidR="00084A46" w:rsidRPr="0059639D">
        <w:rPr>
          <w:rFonts w:ascii="Arial" w:hAnsi="Arial" w:cs="Arial"/>
          <w:sz w:val="20"/>
          <w:szCs w:val="20"/>
        </w:rPr>
        <w:t>:</w:t>
      </w:r>
    </w:p>
    <w:p w:rsidR="00094E04" w:rsidRPr="00094E04" w:rsidRDefault="00094E04" w:rsidP="00094E04">
      <w:pPr>
        <w:pStyle w:val="NoSpacing"/>
        <w:rPr>
          <w:i/>
        </w:rPr>
      </w:pPr>
      <w:r w:rsidRPr="00094E04">
        <w:rPr>
          <w:i/>
        </w:rPr>
        <w:t>The rationale and design of our STEM curriculum will be developed collegiately, enabling opportunities to make links across science, technologies, engineering and mathematics, and digital skills, to be explored.</w:t>
      </w:r>
    </w:p>
    <w:p w:rsidR="00B34F9B" w:rsidRDefault="00B34F9B" w:rsidP="00094E04">
      <w:pPr>
        <w:pStyle w:val="NoSpacing"/>
      </w:pPr>
      <w:r w:rsidRPr="0059639D">
        <w:t xml:space="preserve">Progress in this area was </w:t>
      </w:r>
      <w:r w:rsidR="00094E04">
        <w:t>satisfactory</w:t>
      </w:r>
      <w:r w:rsidR="00345A73">
        <w:t>.</w:t>
      </w:r>
    </w:p>
    <w:p w:rsidR="00270E67" w:rsidRPr="002E3A7D" w:rsidRDefault="00270E67" w:rsidP="00270E67">
      <w:pPr>
        <w:pStyle w:val="NoSpacing"/>
        <w:rPr>
          <w:rFonts w:ascii="Arial" w:hAnsi="Arial" w:cs="Arial"/>
          <w:sz w:val="20"/>
          <w:szCs w:val="20"/>
        </w:rPr>
      </w:pPr>
    </w:p>
    <w:p w:rsidR="004A50C9" w:rsidRDefault="00270E67" w:rsidP="004A50C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strengths and development needs in STEM were identified and professional learning was accessed to develop and enhance experiences for learners.</w:t>
      </w:r>
    </w:p>
    <w:p w:rsidR="00270E67" w:rsidRDefault="00270E67" w:rsidP="004A50C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engaged in a number of STEM collegiate activities with staff from schools across the Blairgowrie Local Management Group.</w:t>
      </w:r>
    </w:p>
    <w:p w:rsidR="00270E67" w:rsidRPr="002E3A7D" w:rsidRDefault="00270E67" w:rsidP="004A50C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an increase in STEM related learning and teaching, leading to an increase in motivation and engagement for learners.</w:t>
      </w:r>
    </w:p>
    <w:sectPr w:rsidR="00270E67" w:rsidRPr="002E3A7D" w:rsidSect="005164A1">
      <w:pgSz w:w="16838" w:h="11906" w:orient="landscape" w:code="9"/>
      <w:pgMar w:top="873" w:right="873" w:bottom="873" w:left="87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4722"/>
    <w:multiLevelType w:val="hybridMultilevel"/>
    <w:tmpl w:val="A89C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72E"/>
    <w:multiLevelType w:val="hybridMultilevel"/>
    <w:tmpl w:val="0A2C8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465A"/>
    <w:multiLevelType w:val="hybridMultilevel"/>
    <w:tmpl w:val="9482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F445D"/>
    <w:multiLevelType w:val="hybridMultilevel"/>
    <w:tmpl w:val="64B8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B5825"/>
    <w:multiLevelType w:val="hybridMultilevel"/>
    <w:tmpl w:val="22B87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D07EE"/>
    <w:multiLevelType w:val="hybridMultilevel"/>
    <w:tmpl w:val="DDB6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E702C"/>
    <w:multiLevelType w:val="hybridMultilevel"/>
    <w:tmpl w:val="8CE4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C4"/>
    <w:rsid w:val="00003375"/>
    <w:rsid w:val="0005665E"/>
    <w:rsid w:val="00065AF4"/>
    <w:rsid w:val="00084A46"/>
    <w:rsid w:val="00094E04"/>
    <w:rsid w:val="000C2BDD"/>
    <w:rsid w:val="0013715A"/>
    <w:rsid w:val="0014093F"/>
    <w:rsid w:val="00172BF8"/>
    <w:rsid w:val="001D466F"/>
    <w:rsid w:val="0020794F"/>
    <w:rsid w:val="002215DD"/>
    <w:rsid w:val="00225343"/>
    <w:rsid w:val="00231E1F"/>
    <w:rsid w:val="00243793"/>
    <w:rsid w:val="00270E67"/>
    <w:rsid w:val="0027701C"/>
    <w:rsid w:val="00284483"/>
    <w:rsid w:val="002B022D"/>
    <w:rsid w:val="002D76D9"/>
    <w:rsid w:val="002E3A7D"/>
    <w:rsid w:val="00316A41"/>
    <w:rsid w:val="00334182"/>
    <w:rsid w:val="00342DD2"/>
    <w:rsid w:val="00345A73"/>
    <w:rsid w:val="00347BDE"/>
    <w:rsid w:val="003820B5"/>
    <w:rsid w:val="003F4D54"/>
    <w:rsid w:val="003F66FF"/>
    <w:rsid w:val="0041003C"/>
    <w:rsid w:val="004824B5"/>
    <w:rsid w:val="004932C4"/>
    <w:rsid w:val="004A50C9"/>
    <w:rsid w:val="004B368C"/>
    <w:rsid w:val="00511588"/>
    <w:rsid w:val="005164A1"/>
    <w:rsid w:val="00566CB0"/>
    <w:rsid w:val="0059639D"/>
    <w:rsid w:val="00596C82"/>
    <w:rsid w:val="005A6F78"/>
    <w:rsid w:val="005B0E45"/>
    <w:rsid w:val="005B5C6D"/>
    <w:rsid w:val="005C7911"/>
    <w:rsid w:val="005F79B1"/>
    <w:rsid w:val="00637414"/>
    <w:rsid w:val="006C0399"/>
    <w:rsid w:val="00702CC4"/>
    <w:rsid w:val="00764DA1"/>
    <w:rsid w:val="007D0BF7"/>
    <w:rsid w:val="007E6273"/>
    <w:rsid w:val="00801B82"/>
    <w:rsid w:val="008031EB"/>
    <w:rsid w:val="008614E7"/>
    <w:rsid w:val="0089788F"/>
    <w:rsid w:val="00924E83"/>
    <w:rsid w:val="0094792F"/>
    <w:rsid w:val="00963FEC"/>
    <w:rsid w:val="0096726D"/>
    <w:rsid w:val="00987657"/>
    <w:rsid w:val="009F6145"/>
    <w:rsid w:val="00A03D83"/>
    <w:rsid w:val="00A6768C"/>
    <w:rsid w:val="00A74893"/>
    <w:rsid w:val="00AA6CD0"/>
    <w:rsid w:val="00AB3095"/>
    <w:rsid w:val="00AE7921"/>
    <w:rsid w:val="00AF1ED7"/>
    <w:rsid w:val="00B2553E"/>
    <w:rsid w:val="00B34F9B"/>
    <w:rsid w:val="00B445FF"/>
    <w:rsid w:val="00B46EEF"/>
    <w:rsid w:val="00B84810"/>
    <w:rsid w:val="00BB3B40"/>
    <w:rsid w:val="00BB453C"/>
    <w:rsid w:val="00BD34D8"/>
    <w:rsid w:val="00BF3FDF"/>
    <w:rsid w:val="00CD0989"/>
    <w:rsid w:val="00D70645"/>
    <w:rsid w:val="00D70FE6"/>
    <w:rsid w:val="00D7642A"/>
    <w:rsid w:val="00DE171A"/>
    <w:rsid w:val="00DF596E"/>
    <w:rsid w:val="00E53C9F"/>
    <w:rsid w:val="00E726C0"/>
    <w:rsid w:val="00EF4153"/>
    <w:rsid w:val="00F0540A"/>
    <w:rsid w:val="00F10B48"/>
    <w:rsid w:val="00F51E8C"/>
    <w:rsid w:val="00FB227A"/>
    <w:rsid w:val="00FE36E5"/>
    <w:rsid w:val="00FE3F4A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ED318-1EFA-4B64-B351-4195A86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0B5"/>
    <w:pPr>
      <w:spacing w:after="0" w:line="240" w:lineRule="auto"/>
    </w:pPr>
  </w:style>
  <w:style w:type="paragraph" w:customStyle="1" w:styleId="Default">
    <w:name w:val="Default"/>
    <w:rsid w:val="00493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Letford</dc:creator>
  <cp:lastModifiedBy>Chelsie Scott</cp:lastModifiedBy>
  <cp:revision>2</cp:revision>
  <dcterms:created xsi:type="dcterms:W3CDTF">2020-08-25T11:02:00Z</dcterms:created>
  <dcterms:modified xsi:type="dcterms:W3CDTF">2020-08-25T11:02:00Z</dcterms:modified>
</cp:coreProperties>
</file>